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2022 3 vom 13. Februar 2026</w:t>
      </w:r>
    </w:p>
    <w:p>
      <w:r>
        <w:t>GR Gerichte, 2026-02-13, DE</w:t>
      </w:r>
    </w:p>
    <w:p>
      <w:r>
        <w:rPr>
          <w:b/>
        </w:rPr>
        <w:t xml:space="preserve">Quelle: </w:t>
      </w:r>
      <w:r>
        <w:t>https://mcp.opencaselaw.ch/entscheid/gr_gerichte_PVG 2022 3</w:t>
      </w:r>
    </w:p>
    <w:p>
      <w:r>
        <w:t>FR: GR_GERICHTE PVG 2022 3 du 13 février 2026</w:t>
      </w:r>
    </w:p>
    <w:p>
      <w:r>
        <w:t>IT: GR_GERICHTE PVG 2022 3 del 13 febbraio 2026</w:t>
      </w:r>
    </w:p>
    <w:p>
      <w:pPr>
        <w:pStyle w:val="Heading2"/>
      </w:pPr>
      <w:r>
        <w:t>Erwägungen</w:t>
      </w:r>
    </w:p>
    <w:p>
      <w:r>
        <w:rPr>
          <w:b/>
        </w:rPr>
        <w:t>E. 44</w:t>
      </w:r>
    </w:p>
    <w:p>
      <w:r>
        <w:t>Kommentar, 3. Aufl., Zürich/Basel/Genf 2014, Art. 19 N. 13). Dabei ist der Grundschulunterricht, vorbehalten besonderer örtlicher und anderer Verhältnisse, am Aufenthaltsort der Schüler zu erteilen; die räumliche Distanz zwischen Aufenthalts- und Schulort darf den Zweck der ausreichenden Grundschulausbildung nicht gefährden. Kann der Schulweg einem Kind wegen übermässiger Länge oder Gefährlichkeit nicht zugemutet werden, so ergibt sich aus Art. 19 BV ein Anspruch auf Übernahme der Transportkosten. Weder aus völkerrechtlichen Bestimmungen (Art. 13 UNO-Pakt I [SR 0.103.1] und Art. 28 des Übereinkommens über die Rechte des Kindes [KRK; SR 0.107]; vgl. BGE 133 I 156 E.3.6.4) noch aus Art. 7 der Verfas- sung des Kantons Graubünden (KV; BR 110. 100) ergeben sich über Art. 19 BV hinausgehende Grundrechtsansprüche. 3.3. Der Unterricht ist grundsätzlich am Wohnort der Schü- ler zu erteilen. Die räumliche Distanz zwischen Wohn- und Schulort darf den Zweck der ausreichenden Grundschulausbildung nicht ge- fährden. Daraus ergibt sich ein Anspruch auf Übernahme der Trans- portkosten, wenn das Zurücklegen des Schulweges zu Fuss wegen übermässiger Länge oder Gefährlichkeit dem Kind nicht zugemutet werden kann. Die Zumutbarkeit eines Schulweges bestimmt sich nach seiner Länge und der zu überwindenden Höhendifferenz, nach der Beschaffenheit des Weges und den damit verbundenen Gefahren sowie nach Alter und Konstitution der betroffenen Kinder (vgl. dazu häfelin/halleR/KelleR/ThuRnheRR, Schweizerisches Bun- destaatsrecht, 10. Aufl., Zürich 2020, N 925e [S. 309], mit Verweis auf Urteil des Bundesgerichts 2P.101/2004 vom 14. Oktober 2004 in: ZBl 106 [2005] S. 430 ff.; Urteil des Verwaltungsgerichts Graubün- den U 10 54 vom 17. August 2010). 3.4. Im Kanton Graubünden haben der Kanton und die Ge- meinden dafür zu sorgen, dass Kinder und Jugendliche einen ihren Fähigkeiten entsprechenden Grundschulunterricht erhalten. Mit dieser in Art. 89 KV verankerten Regelung wird das soziale Grund- recht von Art. 19 BV und die Verpflichtung von Art. 62 Abs. 1 und 2 BV aufgegriffen. Umgesetzt wird diese Bestimmung auf kanto- naler Ebene im Gesetz über die Volksschule des Kantons Graubün- den (bereits zitiertes Schulgesetz [SchulG]) und den zugehörigen Verordnungen (insbesondere der Verordnung zum Schulgesetz [Schulverordnung; BR 421.010]). Nach Art. 6 Abs. 1 SchulG besteht die Volksschule aus der Kindergartenstufe, der Primarstufe und der Sekundarstufe I. Der Schulbesuch ist auf der Primarstufe und auf der Sekundarstufe I obligatorisch (Art. 10 Abs. 2 SchulG). Der Be- such des zwei Jahre dauernden Kindergartens ist freiwillig (Art. 7</w:t>
      </w:r>
    </w:p>
    <w:p>
      <w:r>
        <w:t>2/3 Erziehung PVG 2022</w:t>
      </w:r>
    </w:p>
    <w:p>
      <w:r>
        <w:rPr>
          <w:b/>
        </w:rPr>
        <w:t>E. 45</w:t>
      </w:r>
    </w:p>
    <w:p>
      <w:r>
        <w:t>Abs. 1 und 2 SchulG). Die Schulträgerschaft kann den zweijähri- gen Kindergartenbesuch allerdings für fremdsprachige Kinder für obligatorisch erklären (Art. 7 Abs. 3 SchulG), um deren (sprachli- che) Integration zu fördern. Als fremdsprachig im Sinne von Art. 7 Abs. 3 SchulG gelten alle Kinder, die eine andere Sprache sprechen als die Schulsprache vor Ort (vgl. Urteil des Verwaltungsgerichts U 14 71 vom 21. Januar 2016, worin es um einen zweisprachigen Unterricht im Kindergarten ging und der Besuch des Kindergartens für fremdsprachige Kinder gestützt auf Art. 7 Abs. 3 SchulG für obligatorisch erklärt und demnach im konkreten Fall als Teil des Grundschulunterrichts angesehen wurde). 3.5. Das Gesetz über die Volksschule der Beschwerdegeg- nerin führt in seinem Art. 1 (RB 81) – konform mit dem übergeord- neten Recht – als zu führende Schulstufen die Kindergartenstufe, die Primarstufe und die Sekundarstufe I auf. Was die Schulpflicht, den Schulort und die Unentgeltlichkeit des Unterrichts betrifft, verweist das kommunale Gesetz in Art. 3 auf das kantonale Recht. Damit ist vorliegend davon auszugehen, dass auf dem Gebiet der Beschwerdegegnerin der Kindergartenunterricht nicht zum Grund- schulunterricht zählt, weil damit nur die Schulen während der obli- gatorischen Schulzeit gemeint sind. Gemäss dem Schulkonkordat von 1970 beträgt die obligatorische Schulzeit 9 Jahre; für diejeni- gen Kantone, welche der interkantonalen Vereinbarung über die Harmonisierung der obligatorischen Schule (HarmoS-Konkordat vom 14. Juni 2007) beigetreten sind, ist die obligatorische Schul- zeit auf 11 Jahre ausgedehnt; in diesen Kantonen zählt auch der zweijährige Kindergarten zum Grundschulunterricht (vgl. auch häfelin/halleR/KelleR/ThuRnheRR, a.a.O. N 925). Die Stimmbevölke- rung des Kantons Graubünden hat in der Abstimmung vom 30. November 2008 allerdings den Beitritt zum HarmoS-Konkordat mit 56.72% der Stimmen abgelehnt, weshalb aus dem Konkordat in Bezug auf die Situation im Kanton Graubünden nichts abgeleitet werden kann. 3.6. Als Zwischenergebnis ergibt sich, dass in der Gemein- de der Beschwerdegegnerin der Kindergartenunterricht nicht zum obligatorischen Unterricht zählt, d.h. dessen Besuch freiwillig ist (vorbehältlich Art. 7 Abs. 3 SchulG). Daraus allerdings zu schlies- sen, dass die Beschwerdegegnerin nicht in der Pflicht stünde, für einen zumutbaren Schulweg besorgt sein zu müssen, würde zu kurz greifen: Der kantonale Gesetzgeber verpflichtet die Gemeinden, im Rahmen der Volksschule einen zwei Jahre dauernden Kindergarten anzubieten (vgl. dazu Art. 3, Art. 4, Art. 6 sowie Art. 7 SchulG).</w:t>
      </w:r>
    </w:p>
    <w:p>
      <w:r>
        <w:t>2/3 Erziehung PVG 2022</w:t>
      </w:r>
    </w:p>
    <w:p>
      <w:r>
        <w:rPr>
          <w:b/>
        </w:rPr>
        <w:t>E. 46</w:t>
      </w:r>
    </w:p>
    <w:p>
      <w:r>
        <w:t>3.7. Das Angebot des Kindergartens ist somit seitens der Beschwerdegegnerin obligatorisch, der Besuch durch die Kinder hingegen freiwillig. Mit dem Obligatorium des Angebots der Kin- dergartenstufe geht die Unentgeltlichkeit gemäss Art. 14 SchulG einher, und insbesondere die Pflicht der Schulträgerschaft, den Transport der Schülerinnen und Schüler zu organisieren und zu fi- nanzieren, sofern es die Verhältnisse erfordern. 3.8. Als Fazit lässt sich damit festhalten, dass die Beschwer- deführerin bzw. ihre gesetzlichen Vertreter (Eltern) einen rechtlich geschützten Anspruch auf einen zumutbaren Schulweg bzw. auf einen unentgeltlichen Schülertransport haben, sofern es die Ver- hältnisse erfordern. Damit sind die weiteren Rügen – nämlich die Verletzung des rechtlichen Gehörs, die Unzumutbarkeit und die Ge- fährlichkeit des Schulweges – materiell zu behandeln und zu klären. U 22 7 Urteil vom 31. Mai 2022 Die an das Bundesgericht erhobene Beschwerde in öffentlich-recht- lichen Angelegenheiten ist noch hängig (2C_562/2022).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